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2A87D">
      <w:pPr>
        <w:keepNext w:val="0"/>
        <w:keepLines w:val="0"/>
        <w:pageBreakBefore w:val="0"/>
        <w:widowControl w:val="0"/>
        <w:tabs>
          <w:tab w:val="left" w:pos="1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/>
        <w:jc w:val="both"/>
        <w:textAlignment w:val="auto"/>
        <w:rPr>
          <w:rFonts w:hint="default" w:eastAsia="宋体"/>
          <w:bCs/>
          <w:sz w:val="24"/>
          <w:lang w:val="en-US" w:eastAsia="zh-CN"/>
        </w:rPr>
      </w:pPr>
      <w:r>
        <w:rPr>
          <w:kern w:val="0"/>
          <w:sz w:val="24"/>
        </w:rPr>
        <w:t xml:space="preserve">证券代码：300238          证券简称：冠昊生物 </w:t>
      </w:r>
      <w:r>
        <w:rPr>
          <w:rFonts w:hint="eastAsia"/>
          <w:kern w:val="0"/>
          <w:sz w:val="24"/>
          <w:lang w:val="en-US" w:eastAsia="zh-CN"/>
        </w:rPr>
        <w:t xml:space="preserve"> </w:t>
      </w:r>
      <w:r>
        <w:rPr>
          <w:kern w:val="0"/>
          <w:sz w:val="24"/>
        </w:rPr>
        <w:t xml:space="preserve">  </w:t>
      </w:r>
      <w:r>
        <w:rPr>
          <w:rFonts w:hint="eastAsia"/>
          <w:kern w:val="0"/>
          <w:sz w:val="24"/>
          <w:lang w:val="en-US" w:eastAsia="zh-CN"/>
        </w:rPr>
        <w:t xml:space="preserve">  </w:t>
      </w:r>
      <w:r>
        <w:rPr>
          <w:kern w:val="0"/>
          <w:sz w:val="24"/>
        </w:rPr>
        <w:t xml:space="preserve"> 公告编号：</w:t>
      </w:r>
      <w:r>
        <w:rPr>
          <w:kern w:val="0"/>
          <w:sz w:val="24"/>
          <w:highlight w:val="none"/>
        </w:rPr>
        <w:t>20</w:t>
      </w:r>
      <w:r>
        <w:rPr>
          <w:rFonts w:hint="eastAsia"/>
          <w:kern w:val="0"/>
          <w:sz w:val="24"/>
          <w:highlight w:val="none"/>
        </w:rPr>
        <w:t>2</w:t>
      </w:r>
      <w:r>
        <w:rPr>
          <w:rFonts w:hint="eastAsia"/>
          <w:kern w:val="0"/>
          <w:sz w:val="24"/>
          <w:highlight w:val="none"/>
          <w:lang w:val="en-US" w:eastAsia="zh-CN"/>
        </w:rPr>
        <w:t>5</w:t>
      </w:r>
      <w:r>
        <w:rPr>
          <w:kern w:val="0"/>
          <w:sz w:val="24"/>
          <w:highlight w:val="none"/>
        </w:rPr>
        <w:t>-</w:t>
      </w:r>
      <w:r>
        <w:rPr>
          <w:rFonts w:hint="eastAsia"/>
          <w:kern w:val="0"/>
          <w:sz w:val="24"/>
          <w:highlight w:val="none"/>
          <w:lang w:val="en-US" w:eastAsia="zh-CN"/>
        </w:rPr>
        <w:t>038</w:t>
      </w:r>
    </w:p>
    <w:p w14:paraId="1E69CC46">
      <w:pPr>
        <w:keepNext w:val="0"/>
        <w:keepLines w:val="0"/>
        <w:pageBreakBefore w:val="0"/>
        <w:tabs>
          <w:tab w:val="left" w:pos="195"/>
        </w:tabs>
        <w:kinsoku/>
        <w:wordWrap/>
        <w:overflowPunct/>
        <w:topLinePunct w:val="0"/>
        <w:bidi w:val="0"/>
        <w:snapToGrid/>
        <w:spacing w:before="468" w:beforeLines="150" w:line="500" w:lineRule="exact"/>
        <w:jc w:val="center"/>
        <w:textAlignment w:val="auto"/>
        <w:rPr>
          <w:rFonts w:ascii="黑体" w:hAnsi="黑体" w:eastAsia="黑体"/>
          <w:sz w:val="30"/>
        </w:rPr>
      </w:pPr>
      <w:r>
        <w:rPr>
          <w:rFonts w:hint="eastAsia" w:ascii="黑体" w:hAnsi="黑体" w:eastAsia="黑体"/>
          <w:sz w:val="30"/>
        </w:rPr>
        <w:t>冠昊生物科技股份有限公司</w:t>
      </w:r>
    </w:p>
    <w:p w14:paraId="105ED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after="625" w:afterLines="200" w:line="500" w:lineRule="exact"/>
        <w:jc w:val="center"/>
        <w:textAlignment w:val="auto"/>
        <w:rPr>
          <w:rFonts w:ascii="宋体" w:cs="宋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sz w:val="30"/>
        </w:rPr>
        <w:t>第六届</w:t>
      </w:r>
      <w:r>
        <w:rPr>
          <w:rFonts w:hint="eastAsia" w:ascii="黑体" w:hAnsi="黑体" w:eastAsia="黑体"/>
          <w:sz w:val="30"/>
          <w:lang w:val="en-US" w:eastAsia="zh-CN"/>
        </w:rPr>
        <w:t>监</w:t>
      </w:r>
      <w:r>
        <w:rPr>
          <w:rFonts w:hint="eastAsia" w:ascii="黑体" w:hAnsi="黑体" w:eastAsia="黑体"/>
          <w:sz w:val="30"/>
        </w:rPr>
        <w:t>事会</w:t>
      </w:r>
      <w:r>
        <w:rPr>
          <w:rFonts w:hint="eastAsia" w:ascii="黑体" w:hAnsi="黑体" w:eastAsia="黑体"/>
          <w:sz w:val="30"/>
          <w:lang w:eastAsia="zh-CN"/>
        </w:rPr>
        <w:t>第十一次</w:t>
      </w:r>
      <w:r>
        <w:rPr>
          <w:rFonts w:hint="eastAsia" w:ascii="黑体" w:hAnsi="黑体" w:eastAsia="黑体"/>
          <w:sz w:val="30"/>
        </w:rPr>
        <w:t>会议决议公告</w:t>
      </w:r>
    </w:p>
    <w:tbl>
      <w:tblPr>
        <w:tblStyle w:val="9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 w14:paraId="6CA8F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460" w:type="dxa"/>
          </w:tcPr>
          <w:p w14:paraId="14CF77FD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本公司及董事会全体人员保证信息披露的内容真实、准确和完整，没有虚假记载、误导性陈述或者重大遗漏。</w:t>
            </w:r>
          </w:p>
        </w:tc>
      </w:tr>
    </w:tbl>
    <w:p w14:paraId="153883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jc w:val="both"/>
        <w:textAlignment w:val="auto"/>
        <w:rPr>
          <w:rFonts w:ascii="宋体" w:hAnsi="宋体" w:cs="宋体"/>
        </w:rPr>
      </w:pPr>
      <w:r>
        <w:rPr>
          <w:rFonts w:hint="eastAsia" w:ascii="宋体" w:hAnsi="宋体" w:cs="宋体"/>
          <w:b/>
          <w:bCs/>
        </w:rPr>
        <w:t>一、监事会会议召开情况</w:t>
      </w:r>
    </w:p>
    <w:p w14:paraId="641FF0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ascii="宋体" w:hAnsi="宋体" w:cs="宋体"/>
        </w:rPr>
      </w:pPr>
      <w:r>
        <w:rPr>
          <w:rFonts w:hint="default" w:ascii="Times New Roman" w:hAnsi="Times New Roman" w:cs="Times New Roman"/>
        </w:rPr>
        <w:t>1</w:t>
      </w:r>
      <w:r>
        <w:rPr>
          <w:rFonts w:hint="eastAsia" w:ascii="宋体" w:hAnsi="宋体" w:cs="宋体"/>
        </w:rPr>
        <w:t>、冠昊生物科技股份有限公司</w:t>
      </w:r>
      <w:r>
        <w:rPr>
          <w:rFonts w:ascii="宋体" w:hAnsi="宋体" w:cs="宋体"/>
        </w:rPr>
        <w:t>(</w:t>
      </w:r>
      <w:r>
        <w:rPr>
          <w:rFonts w:hint="eastAsia" w:ascii="宋体" w:hAnsi="宋体" w:cs="宋体"/>
        </w:rPr>
        <w:t>以下简称“公司”</w:t>
      </w:r>
      <w:r>
        <w:rPr>
          <w:rFonts w:ascii="宋体" w:hAnsi="宋体" w:cs="宋体"/>
        </w:rPr>
        <w:t>)</w:t>
      </w:r>
      <w:r>
        <w:rPr>
          <w:rFonts w:hint="eastAsia" w:ascii="宋体" w:hAnsi="宋体" w:cs="宋体"/>
          <w:lang w:eastAsia="zh-CN"/>
        </w:rPr>
        <w:t>第六届监事会第十一次会议</w:t>
      </w:r>
      <w:r>
        <w:rPr>
          <w:rFonts w:hint="eastAsia" w:ascii="宋体" w:hAnsi="宋体" w:cs="宋体"/>
        </w:rPr>
        <w:t>，会议通知已于</w:t>
      </w:r>
      <w:r>
        <w:rPr>
          <w:rFonts w:hint="eastAsia"/>
          <w:sz w:val="24"/>
          <w:highlight w:val="none"/>
          <w:lang w:eastAsia="zh-CN"/>
        </w:rPr>
        <w:t>2025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3</w:t>
      </w:r>
      <w:r>
        <w:rPr>
          <w:sz w:val="24"/>
          <w:highlight w:val="none"/>
        </w:rPr>
        <w:t>日</w:t>
      </w:r>
      <w:r>
        <w:rPr>
          <w:rFonts w:hint="eastAsia" w:ascii="宋体" w:hAnsi="宋体" w:cs="宋体"/>
        </w:rPr>
        <w:t>以专人送达、邮件等方式送达全体监事。</w:t>
      </w:r>
    </w:p>
    <w:p w14:paraId="13996F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</w:pPr>
      <w:r>
        <w:rPr>
          <w:rFonts w:hint="eastAsia"/>
        </w:rPr>
        <w:t>2、</w:t>
      </w:r>
      <w:r>
        <w:t>本次会议</w:t>
      </w:r>
      <w:r>
        <w:rPr>
          <w:rFonts w:hint="eastAsia" w:ascii="宋体" w:hAnsi="宋体" w:cs="宋体"/>
        </w:rPr>
        <w:t>于</w:t>
      </w:r>
      <w:r>
        <w:rPr>
          <w:rFonts w:hint="eastAsia"/>
          <w:sz w:val="24"/>
          <w:highlight w:val="none"/>
          <w:lang w:eastAsia="zh-CN"/>
        </w:rPr>
        <w:t>2025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6</w:t>
      </w:r>
      <w:r>
        <w:rPr>
          <w:sz w:val="24"/>
          <w:highlight w:val="none"/>
        </w:rPr>
        <w:t>日</w:t>
      </w:r>
      <w:r>
        <w:rPr>
          <w:rFonts w:hint="eastAsia"/>
        </w:rPr>
        <w:t>下</w:t>
      </w:r>
      <w:r>
        <w:t>午</w:t>
      </w:r>
      <w:r>
        <w:rPr>
          <w:highlight w:val="none"/>
        </w:rPr>
        <w:t>1</w:t>
      </w:r>
      <w:r>
        <w:rPr>
          <w:rFonts w:hint="eastAsia"/>
          <w:highlight w:val="none"/>
        </w:rPr>
        <w:t>5</w:t>
      </w:r>
      <w:r>
        <w:rPr>
          <w:highlight w:val="none"/>
        </w:rPr>
        <w:t>:</w:t>
      </w:r>
      <w:r>
        <w:rPr>
          <w:rFonts w:hint="eastAsia"/>
          <w:highlight w:val="none"/>
          <w:lang w:val="en-US" w:eastAsia="zh-CN"/>
        </w:rPr>
        <w:t>0</w:t>
      </w:r>
      <w:r>
        <w:rPr>
          <w:highlight w:val="none"/>
        </w:rPr>
        <w:t>0</w:t>
      </w:r>
      <w:r>
        <w:rPr>
          <w:rFonts w:hint="eastAsia"/>
        </w:rPr>
        <w:t>在公司会议室</w:t>
      </w:r>
      <w:r>
        <w:rPr>
          <w:rFonts w:hint="eastAsia" w:ascii="宋体" w:hAnsi="宋体" w:cs="宋体"/>
        </w:rPr>
        <w:t>采取现场会议和通讯会议相结合的方式召开。</w:t>
      </w:r>
    </w:p>
    <w:p w14:paraId="450AE8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</w:pPr>
      <w:r>
        <w:rPr>
          <w:rFonts w:hint="eastAsia"/>
        </w:rPr>
        <w:t>3、</w:t>
      </w:r>
      <w:r>
        <w:t>本次会议应出席</w:t>
      </w:r>
      <w:r>
        <w:rPr>
          <w:rFonts w:hint="eastAsia"/>
        </w:rPr>
        <w:t>监事</w:t>
      </w:r>
      <w:r>
        <w:t>3名，实际出席会议</w:t>
      </w:r>
      <w:r>
        <w:rPr>
          <w:rFonts w:hint="eastAsia"/>
        </w:rPr>
        <w:t>监事</w:t>
      </w:r>
      <w:r>
        <w:t>3名</w:t>
      </w:r>
      <w:r>
        <w:rPr>
          <w:rFonts w:hint="eastAsia"/>
        </w:rPr>
        <w:t>。</w:t>
      </w:r>
      <w:r>
        <w:rPr>
          <w:rFonts w:hint="eastAsia" w:ascii="宋体" w:hAnsi="宋体" w:cs="宋体"/>
          <w:highlight w:val="none"/>
        </w:rPr>
        <w:t>其中，</w:t>
      </w:r>
      <w:r>
        <w:rPr>
          <w:rFonts w:hint="eastAsia" w:ascii="宋体" w:hAnsi="宋体" w:cs="宋体"/>
          <w:highlight w:val="none"/>
          <w:lang w:val="en-US" w:eastAsia="zh-CN"/>
        </w:rPr>
        <w:t>监事田丹女士、赵剑翼先生</w:t>
      </w:r>
      <w:r>
        <w:rPr>
          <w:rFonts w:ascii="宋体" w:hAnsi="宋体" w:cs="宋体"/>
          <w:highlight w:val="none"/>
        </w:rPr>
        <w:t>以通讯方式出席会议</w:t>
      </w:r>
      <w:r>
        <w:rPr>
          <w:highlight w:val="none"/>
        </w:rPr>
        <w:t>。</w:t>
      </w:r>
    </w:p>
    <w:p w14:paraId="238C45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ascii="宋体" w:hAnsi="宋体" w:cs="宋体"/>
        </w:rPr>
      </w:pPr>
      <w:r>
        <w:t>4</w:t>
      </w:r>
      <w:r>
        <w:rPr>
          <w:rFonts w:hint="eastAsia" w:ascii="宋体" w:hAnsi="宋体" w:cs="宋体"/>
        </w:rPr>
        <w:t>、本次会议由公司监事会主席田丹女士召集并主持。</w:t>
      </w:r>
    </w:p>
    <w:p w14:paraId="08F3F8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ascii="宋体" w:hAnsi="宋体" w:cs="宋体"/>
        </w:rPr>
      </w:pPr>
      <w:r>
        <w:t>5</w:t>
      </w:r>
      <w:r>
        <w:rPr>
          <w:rFonts w:hint="eastAsia" w:ascii="宋体" w:hAnsi="宋体" w:cs="宋体"/>
        </w:rPr>
        <w:t>、本次会议的召集和召开符合《公司法》《公司章程》和《监事会议事规则》的有关规定。</w:t>
      </w:r>
    </w:p>
    <w:p w14:paraId="44382E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jc w:val="both"/>
        <w:textAlignment w:val="auto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>二、监事会会议审议情况</w:t>
      </w:r>
    </w:p>
    <w:p w14:paraId="257138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cs="Times New Roman"/>
        </w:rPr>
      </w:pPr>
      <w:r>
        <w:rPr>
          <w:rFonts w:cs="Times New Roman"/>
        </w:rPr>
        <w:t>会议采取记名投票的方式进行表决，经与会的监事充分讨论与审议，会议形成以下决议：</w:t>
      </w:r>
    </w:p>
    <w:p w14:paraId="07F0FC5F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leftChars="0" w:firstLine="482" w:firstLineChars="200"/>
        <w:jc w:val="both"/>
        <w:textAlignment w:val="auto"/>
        <w:rPr>
          <w:b/>
          <w:sz w:val="24"/>
        </w:rPr>
      </w:pPr>
      <w:r>
        <w:rPr>
          <w:b/>
          <w:sz w:val="24"/>
        </w:rPr>
        <w:t>审议通过《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关于修订&lt;公司章程&gt;及其附件的议案</w:t>
      </w:r>
      <w:r>
        <w:rPr>
          <w:b/>
          <w:sz w:val="24"/>
        </w:rPr>
        <w:t>》</w:t>
      </w:r>
    </w:p>
    <w:p w14:paraId="0E5F9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  <w:highlight w:val="none"/>
        </w:rPr>
      </w:pPr>
      <w:r>
        <w:rPr>
          <w:sz w:val="24"/>
        </w:rPr>
        <w:t>监事会经审核认为：</w:t>
      </w:r>
      <w:r>
        <w:rPr>
          <w:rFonts w:hint="eastAsia"/>
          <w:sz w:val="24"/>
          <w:lang w:val="en-US" w:eastAsia="zh-CN"/>
        </w:rPr>
        <w:t>本次</w:t>
      </w:r>
      <w:r>
        <w:rPr>
          <w:rFonts w:hint="eastAsia"/>
          <w:b w:val="0"/>
          <w:bCs/>
          <w:sz w:val="24"/>
        </w:rPr>
        <w:t>对现行《公司章程》及其附件（《股东会议事规则》和《董事会议事规则》）的部分条款进行修订和完善</w:t>
      </w:r>
      <w:r>
        <w:rPr>
          <w:rFonts w:hint="eastAsia"/>
          <w:b w:val="0"/>
          <w:bCs/>
          <w:sz w:val="24"/>
          <w:lang w:eastAsia="zh-CN"/>
        </w:rPr>
        <w:t>，</w:t>
      </w:r>
      <w:r>
        <w:rPr>
          <w:rFonts w:hint="eastAsia"/>
          <w:b w:val="0"/>
          <w:bCs/>
          <w:sz w:val="24"/>
          <w:lang w:val="en-US" w:eastAsia="zh-CN"/>
        </w:rPr>
        <w:t>符合</w:t>
      </w:r>
      <w:r>
        <w:rPr>
          <w:rFonts w:hint="eastAsia"/>
          <w:b w:val="0"/>
          <w:bCs/>
          <w:sz w:val="24"/>
          <w:lang w:eastAsia="zh-CN"/>
        </w:rPr>
        <w:t>《公司法》《上市公司章程指引》《深圳证券交易所创业板股票上市规则》《深圳证券交易所上市公司自律监管指引第2号——创业板上市公司规范运作》等相关法律法规、规范性文件的</w:t>
      </w:r>
      <w:r>
        <w:rPr>
          <w:rFonts w:hint="eastAsia"/>
          <w:b w:val="0"/>
          <w:bCs/>
          <w:sz w:val="24"/>
          <w:lang w:val="en-US" w:eastAsia="zh-CN"/>
        </w:rPr>
        <w:t>有关</w:t>
      </w:r>
      <w:r>
        <w:rPr>
          <w:rFonts w:hint="eastAsia"/>
          <w:b w:val="0"/>
          <w:bCs/>
          <w:sz w:val="24"/>
          <w:lang w:eastAsia="zh-CN"/>
        </w:rPr>
        <w:t>规定，</w:t>
      </w:r>
      <w:r>
        <w:rPr>
          <w:rFonts w:hint="eastAsia"/>
          <w:b w:val="0"/>
          <w:bCs/>
          <w:sz w:val="24"/>
          <w:lang w:val="en-US" w:eastAsia="zh-CN"/>
        </w:rPr>
        <w:t>有助于</w:t>
      </w:r>
      <w:r>
        <w:rPr>
          <w:rFonts w:hint="eastAsia"/>
          <w:b w:val="0"/>
          <w:bCs/>
          <w:sz w:val="24"/>
        </w:rPr>
        <w:t>进一步规范公司运作机制，提升公司治理水平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，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切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highlight w:val="none"/>
        </w:rPr>
        <w:t>合公司当前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实际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。</w:t>
      </w:r>
    </w:p>
    <w:p w14:paraId="7708D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  <w:highlight w:val="none"/>
        </w:rPr>
      </w:pPr>
      <w:r>
        <w:rPr>
          <w:rFonts w:hint="default" w:ascii="Times New Roman" w:hAnsi="Times New Roman" w:cs="Times New Roman"/>
          <w:kern w:val="0"/>
          <w:sz w:val="24"/>
          <w:highlight w:val="none"/>
        </w:rPr>
        <w:t>具体内容详见公司同日</w:t>
      </w:r>
      <w:r>
        <w:rPr>
          <w:rFonts w:hint="eastAsia" w:ascii="宋体" w:hAnsi="宋体" w:cs="宋体"/>
          <w:sz w:val="24"/>
          <w:lang w:val="en-US" w:eastAsia="zh-CN"/>
        </w:rPr>
        <w:t>刊登</w:t>
      </w:r>
      <w:r>
        <w:rPr>
          <w:rFonts w:ascii="宋体" w:hAnsi="宋体" w:cs="宋体"/>
          <w:sz w:val="24"/>
        </w:rPr>
        <w:t>于中国证监会指定信息披露网站巨潮资讯网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（http://www.cninfo.com.cn）的《关于修订</w:t>
      </w:r>
      <w:r>
        <w:rPr>
          <w:rFonts w:hint="eastAsia" w:cs="Times New Roman"/>
          <w:kern w:val="0"/>
          <w:sz w:val="24"/>
          <w:highlight w:val="none"/>
          <w:lang w:val="en-US" w:eastAsia="zh-CN"/>
        </w:rPr>
        <w:t>&lt;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公司章程</w:t>
      </w:r>
      <w:r>
        <w:rPr>
          <w:rFonts w:hint="eastAsia" w:cs="Times New Roman"/>
          <w:kern w:val="0"/>
          <w:sz w:val="24"/>
          <w:highlight w:val="none"/>
          <w:lang w:val="en-US" w:eastAsia="zh-CN"/>
        </w:rPr>
        <w:t>&gt;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及部分治理制度的公告》。</w:t>
      </w:r>
    </w:p>
    <w:p w14:paraId="4C211A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sz w:val="24"/>
        </w:rPr>
      </w:pPr>
      <w:r>
        <w:rPr>
          <w:sz w:val="24"/>
        </w:rPr>
        <w:t>表决结果：同意3票；反对0票；弃权0票。</w:t>
      </w:r>
    </w:p>
    <w:p w14:paraId="540F46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firstLine="480" w:firstLineChars="200"/>
        <w:jc w:val="left"/>
        <w:textAlignment w:val="auto"/>
        <w:rPr>
          <w:sz w:val="24"/>
        </w:rPr>
      </w:pPr>
      <w:r>
        <w:rPr>
          <w:rFonts w:hint="eastAsia"/>
          <w:sz w:val="24"/>
        </w:rPr>
        <w:t>本议案尚</w:t>
      </w:r>
      <w:r>
        <w:rPr>
          <w:rFonts w:hint="eastAsia"/>
          <w:sz w:val="24"/>
          <w:lang w:val="en-US" w:eastAsia="zh-CN"/>
        </w:rPr>
        <w:t>需</w:t>
      </w:r>
      <w:r>
        <w:rPr>
          <w:rFonts w:hint="eastAsia"/>
          <w:sz w:val="24"/>
        </w:rPr>
        <w:t>提交公司股东大会审议</w:t>
      </w:r>
      <w:r>
        <w:rPr>
          <w:sz w:val="24"/>
        </w:rPr>
        <w:t>。</w:t>
      </w:r>
    </w:p>
    <w:p w14:paraId="37129C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ind w:left="0" w:firstLine="482" w:firstLineChars="200"/>
        <w:jc w:val="both"/>
        <w:textAlignment w:val="auto"/>
      </w:pPr>
      <w:r>
        <w:rPr>
          <w:rFonts w:hint="eastAsia" w:ascii="宋体" w:hAnsi="宋体" w:cs="宋体"/>
          <w:b/>
          <w:bCs/>
        </w:rPr>
        <w:t>三、备查文件</w:t>
      </w:r>
    </w:p>
    <w:p w14:paraId="28119F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</w:pPr>
      <w:r>
        <w:rPr>
          <w:rFonts w:hint="eastAsia"/>
        </w:rPr>
        <w:t>1、</w:t>
      </w:r>
      <w:r>
        <w:rPr>
          <w:rFonts w:hint="eastAsia"/>
          <w:lang w:eastAsia="zh-CN"/>
        </w:rPr>
        <w:t>第六届监事会第十</w:t>
      </w:r>
      <w:r>
        <w:rPr>
          <w:rFonts w:hint="eastAsia"/>
          <w:lang w:val="en-US" w:eastAsia="zh-CN"/>
        </w:rPr>
        <w:t>一</w:t>
      </w:r>
      <w:r>
        <w:rPr>
          <w:rFonts w:hint="eastAsia"/>
          <w:lang w:eastAsia="zh-CN"/>
        </w:rPr>
        <w:t>次会议</w:t>
      </w:r>
      <w:r>
        <w:rPr>
          <w:rFonts w:hint="eastAsia"/>
        </w:rPr>
        <w:t>决议。</w:t>
      </w:r>
    </w:p>
    <w:p w14:paraId="36677F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cs="Times New Roman"/>
        </w:rPr>
      </w:pPr>
    </w:p>
    <w:p w14:paraId="5105CE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jc w:val="both"/>
        <w:textAlignment w:val="auto"/>
        <w:rPr>
          <w:rFonts w:cs="Times New Roman"/>
        </w:rPr>
      </w:pPr>
      <w:r>
        <w:rPr>
          <w:rFonts w:cs="Times New Roman"/>
        </w:rPr>
        <w:t>特此公告。</w:t>
      </w:r>
    </w:p>
    <w:p w14:paraId="27834503">
      <w:pPr>
        <w:ind w:firstLine="566" w:firstLineChars="236"/>
        <w:jc w:val="both"/>
        <w:rPr>
          <w:rFonts w:cs="Times New Roman"/>
        </w:rPr>
      </w:pPr>
    </w:p>
    <w:p w14:paraId="1BC4020C">
      <w:pPr>
        <w:spacing w:before="156" w:beforeLines="50" w:line="500" w:lineRule="exact"/>
        <w:jc w:val="right"/>
        <w:rPr>
          <w:rFonts w:cs="Times New Roman"/>
        </w:rPr>
      </w:pPr>
      <w:r>
        <w:rPr>
          <w:rFonts w:cs="Times New Roman"/>
        </w:rPr>
        <w:t>冠昊生物科技股份有限公司监事会</w:t>
      </w:r>
    </w:p>
    <w:p w14:paraId="067711CE">
      <w:pPr>
        <w:wordWrap w:val="0"/>
        <w:spacing w:before="156" w:beforeLines="50" w:line="500" w:lineRule="exact"/>
        <w:jc w:val="right"/>
        <w:rPr>
          <w:rFonts w:hint="default" w:eastAsia="宋体" w:cs="Times New Roman"/>
          <w:lang w:val="en-US" w:eastAsia="zh-CN"/>
        </w:rPr>
      </w:pPr>
      <w:r>
        <w:rPr>
          <w:rFonts w:hint="eastAsia" w:cs="Times New Roman"/>
          <w:lang w:eastAsia="zh-CN"/>
        </w:rPr>
        <w:t>2025</w:t>
      </w:r>
      <w:r>
        <w:rPr>
          <w:rFonts w:cs="Times New Roman"/>
        </w:rPr>
        <w:t>年</w:t>
      </w:r>
      <w:r>
        <w:rPr>
          <w:rFonts w:hint="eastAsia" w:cs="Times New Roman"/>
          <w:lang w:val="en-US" w:eastAsia="zh-CN"/>
        </w:rPr>
        <w:t>6</w:t>
      </w:r>
      <w:r>
        <w:rPr>
          <w:rFonts w:cs="Times New Roman"/>
        </w:rPr>
        <w:t>月</w:t>
      </w:r>
      <w:r>
        <w:rPr>
          <w:rFonts w:hint="eastAsia" w:cs="Times New Roman"/>
          <w:lang w:val="en-US" w:eastAsia="zh-CN"/>
        </w:rPr>
        <w:t>7</w:t>
      </w:r>
      <w:r>
        <w:rPr>
          <w:rFonts w:cs="Times New Roman"/>
        </w:rPr>
        <w:t>日</w:t>
      </w:r>
      <w:r>
        <w:rPr>
          <w:rFonts w:hint="eastAsia" w:cs="Times New Roman"/>
          <w:lang w:val="en-US" w:eastAsia="zh-CN"/>
        </w:rPr>
        <w:t xml:space="preserve">       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 new roman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01867481"/>
    </w:sdtPr>
    <w:sdtContent>
      <w:p w14:paraId="7F276E4D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DFBC9DA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FA5C38"/>
    <w:multiLevelType w:val="singleLevel"/>
    <w:tmpl w:val="A0FA5C3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宋体文件">
      <a:majorFont>
        <a:latin typeface="宋体"/>
        <a:ea typeface="黑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